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7" w:rsidRDefault="00787007" w:rsidP="006A4B9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8244B3">
        <w:rPr>
          <w:b/>
          <w:bCs/>
        </w:rPr>
        <w:t xml:space="preserve">                         </w:t>
      </w:r>
      <w:bookmarkStart w:id="0" w:name="_GoBack"/>
      <w:bookmarkEnd w:id="0"/>
    </w:p>
    <w:p w:rsidR="00787007" w:rsidRDefault="00787007" w:rsidP="006A4B97">
      <w:pPr>
        <w:jc w:val="center"/>
        <w:rPr>
          <w:b/>
          <w:bCs/>
        </w:rPr>
      </w:pPr>
    </w:p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E765DB" w:rsidP="0011343E">
      <w:pPr>
        <w:jc w:val="both"/>
      </w:pPr>
      <w:r>
        <w:t xml:space="preserve">        </w:t>
      </w:r>
      <w:r w:rsidR="00E00811">
        <w:t>5</w:t>
      </w:r>
      <w:r w:rsidR="000C6C18">
        <w:t>.12</w:t>
      </w:r>
      <w:r w:rsidR="00E00811">
        <w:t>.2018</w:t>
      </w:r>
      <w:r w:rsidR="00712AB3" w:rsidRPr="00824007">
        <w:t xml:space="preserve"> </w:t>
      </w:r>
      <w:r w:rsidR="00ED5F7D">
        <w:t>г.</w:t>
      </w:r>
      <w:r w:rsidR="00712AB3" w:rsidRPr="00824007">
        <w:t xml:space="preserve">                                                                              </w:t>
      </w:r>
      <w:r w:rsidR="00DF5008">
        <w:t xml:space="preserve">               </w:t>
      </w:r>
      <w:r w:rsidR="00712AB3" w:rsidRPr="00824007">
        <w:t xml:space="preserve">  №</w:t>
      </w:r>
      <w:r w:rsidR="00E00811">
        <w:t xml:space="preserve"> 182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0C6C18" w:rsidP="0011343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712AB3"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="00712AB3"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</w:p>
    <w:p w:rsidR="00424586" w:rsidRDefault="00691EA3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 w:rsidR="00424586">
        <w:rPr>
          <w:rFonts w:eastAsia="Times New Roman CYR"/>
          <w:b/>
          <w:bCs/>
        </w:rPr>
        <w:t xml:space="preserve"> «Содержание  и ремонт  автомобильных дорог</w:t>
      </w:r>
    </w:p>
    <w:p w:rsidR="00424586" w:rsidRDefault="000C6C18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</w:t>
      </w:r>
      <w:r w:rsidR="00424586">
        <w:rPr>
          <w:rFonts w:eastAsia="Times New Roman CYR"/>
          <w:b/>
          <w:bCs/>
        </w:rPr>
        <w:t xml:space="preserve"> общего пользования Пречистенского  сельского поселения</w:t>
      </w:r>
    </w:p>
    <w:p w:rsidR="00424586" w:rsidRDefault="00E00811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Ярославской области на 2019-2021</w:t>
      </w:r>
      <w:r w:rsidR="00764A7E">
        <w:rPr>
          <w:rFonts w:eastAsia="Times New Roman CYR"/>
          <w:b/>
          <w:bCs/>
        </w:rPr>
        <w:t>годы</w:t>
      </w:r>
      <w:r w:rsidR="00424586">
        <w:rPr>
          <w:rFonts w:eastAsia="Times New Roman CYR"/>
          <w:b/>
          <w:bCs/>
        </w:rPr>
        <w:t>»</w:t>
      </w:r>
    </w:p>
    <w:p w:rsidR="00424586" w:rsidRDefault="00424586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712AB3" w:rsidRDefault="00712AB3" w:rsidP="00424586">
      <w:pPr>
        <w:pStyle w:val="ConsPlusNormal"/>
        <w:widowControl/>
        <w:jc w:val="both"/>
        <w:rPr>
          <w:b/>
          <w:bCs/>
        </w:rPr>
      </w:pPr>
    </w:p>
    <w:p w:rsidR="00FC005C" w:rsidRDefault="00FC005C" w:rsidP="00FC005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 ,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8B6718" w:rsidRPr="005A0D20" w:rsidRDefault="008B6718" w:rsidP="0011343E">
      <w:pPr>
        <w:jc w:val="both"/>
        <w:rPr>
          <w:b/>
          <w:bCs/>
        </w:rPr>
      </w:pPr>
    </w:p>
    <w:p w:rsidR="008B6718" w:rsidRDefault="004058AE" w:rsidP="008B6718">
      <w:pPr>
        <w:pStyle w:val="ConsPlusNormal"/>
        <w:widowControl/>
        <w:jc w:val="both"/>
      </w:pPr>
      <w:r>
        <w:rPr>
          <w:b/>
          <w:bCs/>
        </w:rPr>
        <w:t>АДМИНИСТРАЦИЯ ПРЕЧИСТЕНСКОГО</w:t>
      </w:r>
      <w:r w:rsidR="009A0C6D">
        <w:rPr>
          <w:b/>
          <w:bCs/>
        </w:rPr>
        <w:t xml:space="preserve"> СЕЛЬСКОГО ПОСЕЛЕНИЯ ЯРОСЛАВСКОЙ</w:t>
      </w:r>
      <w:r>
        <w:rPr>
          <w:b/>
          <w:bCs/>
        </w:rPr>
        <w:t xml:space="preserve"> ОБЛАСТИ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8B6718" w:rsidRDefault="008B6718" w:rsidP="008B6718">
      <w:pPr>
        <w:pStyle w:val="ConsPlusNormal"/>
        <w:widowControl/>
        <w:jc w:val="both"/>
      </w:pPr>
    </w:p>
    <w:p w:rsidR="00424586" w:rsidRPr="00424586" w:rsidRDefault="008B6718" w:rsidP="00424586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9A0C6D">
        <w:t xml:space="preserve"> 1. Утвердить прилагаемую муниципальную  программу </w:t>
      </w:r>
      <w:r w:rsidR="00424586">
        <w:rPr>
          <w:b/>
        </w:rPr>
        <w:t xml:space="preserve"> </w:t>
      </w:r>
      <w:r w:rsidR="00424586">
        <w:rPr>
          <w:rFonts w:eastAsia="Times New Roman CYR"/>
          <w:b/>
          <w:bCs/>
        </w:rPr>
        <w:t xml:space="preserve"> «</w:t>
      </w:r>
      <w:r w:rsidR="00424586" w:rsidRPr="00424586">
        <w:rPr>
          <w:rFonts w:eastAsia="Times New Roman CYR"/>
          <w:bCs/>
        </w:rPr>
        <w:t>Содержание  и ремонт  автомобильных дорог</w:t>
      </w:r>
      <w:r w:rsidR="00424586">
        <w:rPr>
          <w:rFonts w:eastAsia="Times New Roman CYR"/>
          <w:bCs/>
        </w:rPr>
        <w:t xml:space="preserve"> </w:t>
      </w:r>
      <w:r w:rsidR="00424586" w:rsidRPr="00424586">
        <w:rPr>
          <w:rFonts w:eastAsia="Times New Roman CYR"/>
          <w:bCs/>
        </w:rPr>
        <w:t xml:space="preserve"> общего пользования Пречистенского  сельского поселения</w:t>
      </w:r>
    </w:p>
    <w:p w:rsidR="00424586" w:rsidRPr="00424586" w:rsidRDefault="00424586" w:rsidP="00424586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424586">
        <w:rPr>
          <w:rFonts w:eastAsia="Times New Roman CYR"/>
          <w:bCs/>
        </w:rPr>
        <w:t xml:space="preserve">Ярославской области на </w:t>
      </w:r>
      <w:r w:rsidR="00E00811">
        <w:rPr>
          <w:rFonts w:eastAsia="Times New Roman CYR"/>
          <w:bCs/>
        </w:rPr>
        <w:t>2019-2021</w:t>
      </w:r>
      <w:r w:rsidR="00764A7E">
        <w:rPr>
          <w:rFonts w:eastAsia="Times New Roman CYR"/>
          <w:bCs/>
        </w:rPr>
        <w:t>годы</w:t>
      </w:r>
      <w:r w:rsidRPr="00424586">
        <w:rPr>
          <w:rFonts w:eastAsia="Times New Roman CYR"/>
          <w:bCs/>
        </w:rPr>
        <w:t>»</w:t>
      </w:r>
      <w:r>
        <w:rPr>
          <w:rFonts w:eastAsia="Times New Roman CYR"/>
          <w:bCs/>
        </w:rPr>
        <w:t>.</w:t>
      </w:r>
    </w:p>
    <w:p w:rsidR="008B6718" w:rsidRPr="009A0C6D" w:rsidRDefault="00ED5F7D" w:rsidP="00FC005C">
      <w:pPr>
        <w:autoSpaceDE w:val="0"/>
        <w:spacing w:line="321" w:lineRule="exact"/>
        <w:ind w:left="38"/>
      </w:pPr>
      <w:r>
        <w:t>2.</w:t>
      </w:r>
      <w:r w:rsidRPr="00ED5F7D">
        <w:t xml:space="preserve"> </w:t>
      </w:r>
      <w:r>
        <w:t>Признать утратившим силу постановление администрации Пречистенского сельского поселе</w:t>
      </w:r>
      <w:r w:rsidR="00FC005C">
        <w:t>ния Ярослав</w:t>
      </w:r>
      <w:r w:rsidR="00DF5008">
        <w:t>с</w:t>
      </w:r>
      <w:r w:rsidR="00E00811">
        <w:t>кой области от 18.12.2017г № 129</w:t>
      </w:r>
      <w:r w:rsidR="00FC005C">
        <w:t xml:space="preserve">  «О</w:t>
      </w:r>
      <w:r>
        <w:t>б у</w:t>
      </w:r>
      <w:r w:rsidR="00FC005C">
        <w:t xml:space="preserve">тверждении муниципальной </w:t>
      </w:r>
      <w:r>
        <w:t xml:space="preserve"> программы </w:t>
      </w:r>
      <w:r w:rsidRPr="00ED5F7D">
        <w:t>«</w:t>
      </w:r>
      <w:r w:rsidRPr="00ED5F7D">
        <w:rPr>
          <w:rFonts w:eastAsia="Times New Roman CYR"/>
          <w:bCs/>
        </w:rPr>
        <w:t>«Содержание  и ремонт  автомобильных дорог  общего пользования Пречистенского  сельского поселения Яр</w:t>
      </w:r>
      <w:r w:rsidR="00E00811">
        <w:rPr>
          <w:rFonts w:eastAsia="Times New Roman CYR"/>
          <w:bCs/>
        </w:rPr>
        <w:t>ославской области на 2018-2020</w:t>
      </w:r>
      <w:r w:rsidR="00FC005C">
        <w:rPr>
          <w:rFonts w:eastAsia="Times New Roman CYR"/>
          <w:bCs/>
        </w:rPr>
        <w:t>годы</w:t>
      </w:r>
      <w:r w:rsidRPr="00ED5F7D">
        <w:rPr>
          <w:rFonts w:eastAsia="Times New Roman CYR"/>
          <w:bCs/>
        </w:rPr>
        <w:t>»</w:t>
      </w:r>
    </w:p>
    <w:p w:rsidR="008B6718" w:rsidRDefault="00ED5F7D" w:rsidP="008B6718">
      <w:pPr>
        <w:jc w:val="both"/>
      </w:pPr>
      <w:r>
        <w:t>3</w:t>
      </w:r>
      <w:r w:rsidR="008B6718">
        <w:t xml:space="preserve">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8B6718" w:rsidRDefault="00ED5F7D" w:rsidP="008B6718">
      <w:pPr>
        <w:jc w:val="both"/>
      </w:pPr>
      <w:r>
        <w:t>4</w:t>
      </w:r>
      <w:r w:rsidR="008B6718">
        <w:t>. Постановление всту</w:t>
      </w:r>
      <w:r w:rsidR="00E00811">
        <w:t>пает в силу с 01.01.2019</w:t>
      </w:r>
      <w:r w:rsidR="003A11A7">
        <w:t>г.</w:t>
      </w:r>
      <w:r w:rsidR="008B6718">
        <w:t xml:space="preserve"> и подлежит обнародованию на информационных стендах в с.Коза, с.Николо-Гора, с.Киево,ст.Скалино, д.Игн</w:t>
      </w:r>
      <w:r w:rsidR="003A11A7">
        <w:t>атцево, д.Колкино, д.Левинское ,</w:t>
      </w:r>
      <w:r w:rsidR="008B6718">
        <w:t xml:space="preserve"> размещению на официальном сайте администрации Пре</w:t>
      </w:r>
      <w:r w:rsidR="003A11A7">
        <w:t>чистенского сельского поселения в сети «Интернет»</w:t>
      </w:r>
      <w:r w:rsidR="00142D4A">
        <w:t>.</w:t>
      </w:r>
    </w:p>
    <w:p w:rsidR="008B6718" w:rsidRDefault="008B6718" w:rsidP="008B6718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356013">
        <w:t xml:space="preserve">                            </w:t>
      </w:r>
      <w:r>
        <w:t>А.К.Сорокин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ED5F7D" w:rsidRDefault="00ED5F7D" w:rsidP="0011343E">
      <w:pPr>
        <w:jc w:val="right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E00811" w:rsidP="0011343E">
      <w:pPr>
        <w:jc w:val="right"/>
      </w:pPr>
      <w:r>
        <w:t>от 5.12.2018г  № 182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7624D" w:rsidRDefault="00712AB3" w:rsidP="0067624D">
      <w:pPr>
        <w:jc w:val="center"/>
        <w:rPr>
          <w:b/>
          <w:bCs/>
          <w:sz w:val="32"/>
          <w:szCs w:val="32"/>
        </w:rPr>
      </w:pPr>
      <w:r w:rsidRPr="0067624D">
        <w:rPr>
          <w:b/>
          <w:bCs/>
          <w:sz w:val="32"/>
          <w:szCs w:val="32"/>
        </w:rPr>
        <w:t>МУНИЦИПАЛЬНАЯ ПРОГРАММА</w:t>
      </w:r>
    </w:p>
    <w:p w:rsidR="0067624D" w:rsidRPr="005A0D20" w:rsidRDefault="0067624D" w:rsidP="0067624D">
      <w:pPr>
        <w:jc w:val="both"/>
        <w:rPr>
          <w:b/>
          <w:bCs/>
        </w:rPr>
      </w:pP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ED5F7D" w:rsidRDefault="003A11A7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Ярославской области на </w:t>
      </w:r>
      <w:r w:rsidR="00E00811">
        <w:rPr>
          <w:rFonts w:eastAsia="Times New Roman CYR"/>
          <w:b/>
          <w:bCs/>
        </w:rPr>
        <w:t>2019-2021</w:t>
      </w:r>
      <w:r w:rsidR="00764A7E">
        <w:rPr>
          <w:rFonts w:eastAsia="Times New Roman CYR"/>
          <w:b/>
          <w:bCs/>
        </w:rPr>
        <w:t>годы</w:t>
      </w:r>
      <w:r w:rsidR="00ED5F7D">
        <w:rPr>
          <w:rFonts w:eastAsia="Times New Roman CYR"/>
          <w:b/>
          <w:bCs/>
        </w:rPr>
        <w:t>»</w:t>
      </w: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712AB3" w:rsidRPr="002D69EC" w:rsidRDefault="00712AB3" w:rsidP="0011343E">
      <w:pPr>
        <w:jc w:val="both"/>
        <w:rPr>
          <w:b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6"/>
        <w:gridCol w:w="1843"/>
        <w:gridCol w:w="992"/>
        <w:gridCol w:w="1418"/>
        <w:gridCol w:w="1276"/>
        <w:gridCol w:w="1295"/>
      </w:tblGrid>
      <w:tr w:rsidR="00712AB3" w:rsidRPr="00824007" w:rsidTr="00BE27F5"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9EC" w:rsidRPr="00824007" w:rsidRDefault="00712AB3" w:rsidP="002D69EC">
            <w:pPr>
              <w:pStyle w:val="ConsPlusNormal"/>
              <w:widowControl/>
              <w:jc w:val="center"/>
            </w:pPr>
            <w:r>
              <w:t xml:space="preserve"> </w:t>
            </w:r>
          </w:p>
          <w:p w:rsidR="00ED5F7D" w:rsidRDefault="00ED5F7D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ED5F7D" w:rsidRDefault="00ED5F7D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ED5F7D" w:rsidRDefault="00836AB7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Ярославской </w:t>
            </w:r>
            <w:r w:rsidR="00E00811">
              <w:rPr>
                <w:rFonts w:eastAsia="Times New Roman CYR"/>
                <w:b/>
                <w:bCs/>
              </w:rPr>
              <w:t>области на 2019-2021</w:t>
            </w:r>
            <w:r w:rsidR="00BD7C92">
              <w:rPr>
                <w:rFonts w:eastAsia="Times New Roman CYR"/>
                <w:b/>
                <w:bCs/>
              </w:rPr>
              <w:t>годы</w:t>
            </w:r>
            <w:r w:rsidR="00ED5F7D">
              <w:rPr>
                <w:rFonts w:eastAsia="Times New Roman CYR"/>
                <w:b/>
                <w:bCs/>
              </w:rPr>
              <w:t>»</w:t>
            </w:r>
          </w:p>
          <w:p w:rsidR="002D69EC" w:rsidRPr="009A0C6D" w:rsidRDefault="002D69EC" w:rsidP="002D69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824007" w:rsidRDefault="00712AB3" w:rsidP="006762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E27F5">
        <w:trPr>
          <w:trHeight w:val="40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6AF" w:rsidRDefault="00287121" w:rsidP="00EB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>дминистрация Пречистенского сельского поселения Ярославской области</w:t>
            </w:r>
            <w:r w:rsidR="00E765DB">
              <w:t>.</w:t>
            </w:r>
            <w:r w:rsidR="003F07ED">
              <w:t xml:space="preserve"> Контактное лицо: </w:t>
            </w:r>
            <w:r w:rsidR="00E765DB">
              <w:t xml:space="preserve">директор МКУ «Пречистенский КЦ» </w:t>
            </w:r>
            <w:r w:rsidR="00EB2543">
              <w:t xml:space="preserve"> Смирнова Н.И.</w:t>
            </w:r>
            <w:r w:rsidR="00E765DB">
              <w:t xml:space="preserve">                                       </w:t>
            </w:r>
          </w:p>
          <w:p w:rsidR="00EB2543" w:rsidRPr="00824007" w:rsidRDefault="00E765DB" w:rsidP="00EB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B2543">
              <w:t>тел</w:t>
            </w:r>
            <w:r w:rsidR="008328E9">
              <w:t xml:space="preserve"> 848549 </w:t>
            </w:r>
            <w:r w:rsidR="00EB2543">
              <w:t xml:space="preserve"> 2-12-46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E27F5">
        <w:trPr>
          <w:trHeight w:val="40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6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BE27F5"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Овчинникова Т.А.</w:t>
            </w:r>
            <w:r w:rsidRPr="00824007">
              <w:t xml:space="preserve"> телефон</w:t>
            </w:r>
          </w:p>
          <w:p w:rsidR="00712AB3" w:rsidRPr="00824007" w:rsidRDefault="008328E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848549 </w:t>
            </w:r>
            <w:r w:rsidR="003F07ED">
              <w:t>2-14</w:t>
            </w:r>
            <w:r w:rsidR="00287121">
              <w:t>-</w:t>
            </w:r>
            <w:r w:rsidR="003F07ED">
              <w:t>07</w:t>
            </w:r>
          </w:p>
        </w:tc>
      </w:tr>
      <w:tr w:rsidR="00712AB3" w:rsidRPr="00824007" w:rsidTr="00BE27F5">
        <w:trPr>
          <w:trHeight w:val="40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6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008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2019-2021</w:t>
            </w:r>
            <w:r w:rsidR="00ED5F7D">
              <w:t>г</w:t>
            </w:r>
            <w:r w:rsidR="00BD7C92">
              <w:t>оды</w:t>
            </w:r>
            <w:r w:rsidR="002D69EC">
              <w:t>.</w:t>
            </w:r>
          </w:p>
        </w:tc>
      </w:tr>
      <w:tr w:rsidR="00712AB3" w:rsidRPr="00824007" w:rsidTr="00BE27F5"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Цель(и) муниципальной программы           </w:t>
            </w:r>
          </w:p>
        </w:tc>
        <w:tc>
          <w:tcPr>
            <w:tcW w:w="6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Default="008B1A1D" w:rsidP="008B1A1D">
            <w:pPr>
              <w:snapToGrid w:val="0"/>
              <w:ind w:left="113" w:right="113"/>
              <w:contextualSpacing/>
              <w:rPr>
                <w:rFonts w:eastAsia="Times New Roman CYR"/>
              </w:rPr>
            </w:pPr>
            <w:r>
              <w:t>достижение требуемого технического и  эксплуатационного состояния автомобильных дорог  общего пользования местного значения на территории Пречистенского сельского поселения Ярославской области</w:t>
            </w:r>
            <w:r>
              <w:rPr>
                <w:rFonts w:eastAsia="Times New Roman CYR"/>
              </w:rPr>
              <w:t xml:space="preserve"> (далее - дороги местного значения)</w:t>
            </w:r>
          </w:p>
          <w:p w:rsidR="008B1A1D" w:rsidRDefault="008B1A1D" w:rsidP="008B1A1D">
            <w:pPr>
              <w:pStyle w:val="ConsPlusNonformat"/>
              <w:widowControl/>
              <w:ind w:right="113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достижение данной цели обеспечивается за счет                         решения следующей задачи: ремонт и содержание дорог местного значения</w:t>
            </w:r>
          </w:p>
          <w:p w:rsidR="00712AB3" w:rsidRPr="00824007" w:rsidRDefault="00712AB3" w:rsidP="00F747F3">
            <w:pPr>
              <w:autoSpaceDE w:val="0"/>
              <w:autoSpaceDN w:val="0"/>
              <w:adjustRightInd w:val="0"/>
            </w:pPr>
          </w:p>
        </w:tc>
      </w:tr>
      <w:tr w:rsidR="00712AB3" w:rsidRPr="00824007" w:rsidTr="00BE27F5">
        <w:trPr>
          <w:trHeight w:val="338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3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712AB3" w:rsidRPr="00824007" w:rsidTr="00BE27F5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E00811"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0081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00811">
              <w:t>21</w:t>
            </w:r>
          </w:p>
        </w:tc>
      </w:tr>
      <w:tr w:rsidR="00712AB3" w:rsidRPr="00824007" w:rsidTr="00BE27F5">
        <w:trPr>
          <w:trHeight w:val="671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E2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7554732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E2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2872732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BE27F5" w:rsidRDefault="00BE27F5" w:rsidP="00BE27F5">
            <w:r>
              <w:t>1821000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E2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2861000</w:t>
            </w:r>
          </w:p>
        </w:tc>
      </w:tr>
      <w:tr w:rsidR="00712AB3" w:rsidRPr="00824007" w:rsidTr="00BE27F5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E2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6432000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E2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E2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1821000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E2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2861000</w:t>
            </w:r>
          </w:p>
        </w:tc>
      </w:tr>
      <w:tr w:rsidR="00712AB3" w:rsidRPr="00824007" w:rsidTr="00BE27F5">
        <w:trPr>
          <w:trHeight w:val="611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B1A1D" w:rsidRPr="00824007" w:rsidTr="00BE27F5">
        <w:trPr>
          <w:trHeight w:val="761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1D" w:rsidRPr="00824007" w:rsidRDefault="008B1A1D" w:rsidP="0011343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1A1D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BE2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1122732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BE27F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1122732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E27F5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E27F5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E27F5">
        <w:trPr>
          <w:trHeight w:val="22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информационно-телекоммуникционной сети «Интернет»</w:t>
            </w:r>
          </w:p>
        </w:tc>
        <w:tc>
          <w:tcPr>
            <w:tcW w:w="682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BE27F5">
        <w:trPr>
          <w:trHeight w:val="80"/>
        </w:trPr>
        <w:tc>
          <w:tcPr>
            <w:tcW w:w="2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Default="00712AB3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t>Общая характеристика текущего состояния сферы реализации  муниципальной программы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Важным фактором жизнеобеспечения населения, способствующим стабильности социально-экономического развития Пречистенского сельского поселения Ярославской области, является развитие сети автомобильных дорог общего пользования. Общая протяженность автомобильных дорог общего пользования Пречистенского сельского поселения Ярос</w:t>
      </w:r>
      <w:r w:rsidR="00792D8B">
        <w:t>лавск</w:t>
      </w:r>
      <w:r w:rsidR="00B7283A">
        <w:t xml:space="preserve">ой области </w:t>
      </w:r>
      <w:r w:rsidR="008D5F45">
        <w:t>на 18.12.2018</w:t>
      </w:r>
      <w:r w:rsidR="004128A6">
        <w:t xml:space="preserve">г </w:t>
      </w:r>
      <w:r w:rsidR="008F0FA0">
        <w:t xml:space="preserve">составляет 62, 844 </w:t>
      </w:r>
      <w:r>
        <w:t>км.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большинство дорог местного значения  Пречистенского сельского поселения Ярославской области находятся в неудовлетворительном состоянии.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Дороги местного значения последние 20 лет практически не развивались, а уровень автомобилизации значительно вырос. Увеличение парка транспортных средств привело  к существенному росту интенсивности движения на дорогах местного значения, что наряду с неудовлетворительным состоянием дорог отрицательно отражается на безопасности дорожного движения на территории Пречистенского сельского поселения.</w:t>
      </w: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Pr="003D5430">
        <w:t xml:space="preserve"> в сфере реализации муниципальной программы являются:</w:t>
      </w:r>
    </w:p>
    <w:p w:rsidR="00121DC1" w:rsidRDefault="00174014" w:rsidP="0099171A">
      <w:pPr>
        <w:widowControl w:val="0"/>
        <w:autoSpaceDE w:val="0"/>
        <w:autoSpaceDN w:val="0"/>
        <w:adjustRightInd w:val="0"/>
        <w:jc w:val="both"/>
      </w:pPr>
      <w:r>
        <w:t>-своевременный качественный ремонт сети автомобильных дорог общего пользования.</w:t>
      </w:r>
    </w:p>
    <w:p w:rsidR="00174014" w:rsidRDefault="00174014" w:rsidP="0099171A">
      <w:pPr>
        <w:widowControl w:val="0"/>
        <w:autoSpaceDE w:val="0"/>
        <w:autoSpaceDN w:val="0"/>
        <w:adjustRightInd w:val="0"/>
        <w:jc w:val="both"/>
      </w:pPr>
      <w:r>
        <w:t>-содержание дорог согласно нормативных требований.</w:t>
      </w:r>
    </w:p>
    <w:p w:rsidR="00174014" w:rsidRDefault="00174014" w:rsidP="0099171A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3.Цели и задачи, прогноз развития сферы  реализации муниципальной программы.</w:t>
      </w:r>
    </w:p>
    <w:p w:rsidR="00174014" w:rsidRDefault="00174014" w:rsidP="0011343E">
      <w:pPr>
        <w:widowControl w:val="0"/>
        <w:autoSpaceDE w:val="0"/>
        <w:autoSpaceDN w:val="0"/>
        <w:adjustRightInd w:val="0"/>
        <w:jc w:val="both"/>
      </w:pP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 xml:space="preserve">     Основной целью настоящей Программы является 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автомобильным транспортом.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     Основными задачами по реализации муниципальной дорожной политики в рамках реализации данной Программы предусмотрены: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повышение технического у</w:t>
      </w:r>
      <w:r w:rsidR="00CE30DC">
        <w:rPr>
          <w:color w:val="000000"/>
        </w:rPr>
        <w:t xml:space="preserve">ровня существующих </w:t>
      </w:r>
      <w:r>
        <w:rPr>
          <w:color w:val="000000"/>
        </w:rPr>
        <w:t xml:space="preserve"> автодорог путём их модернизации для обеспечения высокого уровня удобства и безопасности движения современных автотранспортных средств;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продолжение формирования сети муниципальных дорог;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постадийная ликвидация бездорожья на территории Пречистенского сельского поселения 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обеспечение круглогодичной эксплуатации дорог местного значения на территории сельского поселения, создание автодорог с твёрдым покрытием 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lastRenderedPageBreak/>
        <w:t>Развитие улично-дорожной сети сельского  поселения обеспечит ускоренное движение транзитного транспорта и беспрепятственный проезд к социально и экономически значимым объектам. Выделение средств из областного бюджета на развитие улично-дорожной сети сельского поселения предлагается производить на условиях соблюдения со стороны муниципального образования паритетности выделения на данные цели средств.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В результате выполнения мероприятий и программных направлений, предусмотренных настоящей программой, будет улучшено транспортно-эксплуатационное состояние муниципальных автодорог.</w:t>
      </w:r>
    </w:p>
    <w:p w:rsidR="00174014" w:rsidRDefault="00174014" w:rsidP="00174014">
      <w:pPr>
        <w:autoSpaceDE w:val="0"/>
        <w:spacing w:after="113"/>
        <w:jc w:val="center"/>
        <w:rPr>
          <w:rFonts w:eastAsia="Lucida Sans Unicode"/>
        </w:rPr>
      </w:pPr>
      <w:r>
        <w:rPr>
          <w:color w:val="000000"/>
        </w:rPr>
        <w:t xml:space="preserve"> </w:t>
      </w:r>
    </w:p>
    <w:p w:rsidR="00174014" w:rsidRDefault="00174014" w:rsidP="00174014"/>
    <w:p w:rsidR="00174014" w:rsidRDefault="00174014" w:rsidP="00174014"/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174014" w:rsidRDefault="008F0FA0" w:rsidP="0090254D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2019</w:t>
      </w:r>
      <w:r w:rsidR="00687A1E">
        <w:rPr>
          <w:rFonts w:eastAsia="Times New Roman CYR"/>
          <w:b/>
          <w:bCs/>
        </w:rPr>
        <w:t>-</w:t>
      </w:r>
      <w:r>
        <w:rPr>
          <w:rFonts w:eastAsia="Times New Roman CYR"/>
          <w:b/>
          <w:bCs/>
        </w:rPr>
        <w:t>2021</w:t>
      </w:r>
      <w:r w:rsidR="00566E92">
        <w:rPr>
          <w:rFonts w:eastAsia="Times New Roman CYR"/>
          <w:b/>
          <w:bCs/>
        </w:rPr>
        <w:t>гг</w:t>
      </w:r>
      <w:r w:rsidR="00174014">
        <w:rPr>
          <w:rFonts w:eastAsia="Times New Roman CYR"/>
          <w:b/>
          <w:bCs/>
        </w:rPr>
        <w:t>»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36"/>
        <w:gridCol w:w="2244"/>
        <w:gridCol w:w="1920"/>
        <w:gridCol w:w="2152"/>
        <w:gridCol w:w="1352"/>
        <w:gridCol w:w="1282"/>
        <w:gridCol w:w="1282"/>
        <w:gridCol w:w="1384"/>
      </w:tblGrid>
      <w:tr w:rsidR="00712AB3" w:rsidTr="004213B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7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2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52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00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4213B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282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282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4213B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</w:tcPr>
          <w:p w:rsidR="003A7BF4" w:rsidRDefault="00712AB3" w:rsidP="003A7B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174014" w:rsidRPr="00174014" w:rsidRDefault="00174014" w:rsidP="00174014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174014">
              <w:rPr>
                <w:rFonts w:eastAsia="Times New Roman CYR"/>
                <w:bCs/>
              </w:rPr>
              <w:t xml:space="preserve">«Содержание  и </w:t>
            </w:r>
            <w:r>
              <w:rPr>
                <w:rFonts w:eastAsia="Times New Roman CYR"/>
                <w:bCs/>
              </w:rPr>
              <w:t>р</w:t>
            </w:r>
            <w:r w:rsidRPr="00174014">
              <w:rPr>
                <w:rFonts w:eastAsia="Times New Roman CYR"/>
                <w:bCs/>
              </w:rPr>
              <w:t>емонт  автомобильных дорог</w:t>
            </w:r>
            <w:r>
              <w:rPr>
                <w:rFonts w:eastAsia="Times New Roman CYR"/>
                <w:bCs/>
              </w:rPr>
              <w:t xml:space="preserve"> </w:t>
            </w:r>
            <w:r w:rsidRPr="00174014">
              <w:rPr>
                <w:rFonts w:eastAsia="Times New Roman CYR"/>
                <w:bCs/>
              </w:rPr>
              <w:t>общего пользования Пречистенского  сельского поселения</w:t>
            </w:r>
          </w:p>
          <w:p w:rsidR="00174014" w:rsidRPr="00174014" w:rsidRDefault="008F0FA0" w:rsidP="00174014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2019-2021</w:t>
            </w:r>
            <w:r w:rsidR="00174014" w:rsidRPr="00174014">
              <w:rPr>
                <w:rFonts w:eastAsia="Times New Roman CYR"/>
                <w:bCs/>
              </w:rPr>
              <w:t>гг»</w:t>
            </w:r>
          </w:p>
          <w:p w:rsidR="00174014" w:rsidRPr="009A0C6D" w:rsidRDefault="00174014" w:rsidP="001740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3A7BF4" w:rsidRDefault="00712AB3" w:rsidP="00174014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</w:tcPr>
          <w:p w:rsidR="003A6B53" w:rsidRDefault="00712AB3" w:rsidP="003A6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12AB3" w:rsidRDefault="00174014" w:rsidP="00F747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автомобильным</w:t>
            </w:r>
          </w:p>
          <w:p w:rsidR="00174014" w:rsidRPr="003A6B53" w:rsidRDefault="00174014" w:rsidP="00F747F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20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2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2872732</w:t>
            </w:r>
          </w:p>
        </w:tc>
        <w:tc>
          <w:tcPr>
            <w:tcW w:w="1282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1821000</w:t>
            </w:r>
          </w:p>
        </w:tc>
        <w:tc>
          <w:tcPr>
            <w:tcW w:w="1282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2861000</w:t>
            </w:r>
          </w:p>
        </w:tc>
        <w:tc>
          <w:tcPr>
            <w:tcW w:w="1384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7554732</w:t>
            </w:r>
          </w:p>
        </w:tc>
      </w:tr>
      <w:tr w:rsidR="00712AB3" w:rsidTr="004213B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1750000</w:t>
            </w:r>
          </w:p>
        </w:tc>
        <w:tc>
          <w:tcPr>
            <w:tcW w:w="1282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1821000</w:t>
            </w:r>
          </w:p>
        </w:tc>
        <w:tc>
          <w:tcPr>
            <w:tcW w:w="1282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2861000</w:t>
            </w:r>
          </w:p>
        </w:tc>
        <w:tc>
          <w:tcPr>
            <w:tcW w:w="1384" w:type="dxa"/>
          </w:tcPr>
          <w:p w:rsidR="00712AB3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6432000</w:t>
            </w:r>
          </w:p>
        </w:tc>
      </w:tr>
      <w:tr w:rsidR="00362F6A" w:rsidTr="004213BA">
        <w:tc>
          <w:tcPr>
            <w:tcW w:w="54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362F6A" w:rsidRDefault="00362F6A" w:rsidP="00724F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</w:tcPr>
          <w:p w:rsidR="00174014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1122732</w:t>
            </w: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8F0FA0" w:rsidP="00362F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1122732</w:t>
            </w: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724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Default="00776E1D" w:rsidP="004213BA"/>
          <w:p w:rsidR="00776E1D" w:rsidRPr="00776E1D" w:rsidRDefault="0043683A" w:rsidP="00776E1D">
            <w:r>
              <w:t>2</w:t>
            </w:r>
          </w:p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Default="00776E1D" w:rsidP="00776E1D"/>
          <w:p w:rsidR="0043683A" w:rsidRDefault="0043683A" w:rsidP="00776E1D"/>
          <w:p w:rsidR="0043683A" w:rsidRDefault="0043683A" w:rsidP="00776E1D"/>
          <w:p w:rsidR="00776E1D" w:rsidRPr="00776E1D" w:rsidRDefault="00724F89" w:rsidP="00776E1D">
            <w:r>
              <w:t>3</w:t>
            </w:r>
          </w:p>
        </w:tc>
        <w:tc>
          <w:tcPr>
            <w:tcW w:w="2736" w:type="dxa"/>
            <w:vMerge w:val="restart"/>
          </w:tcPr>
          <w:p w:rsidR="00776E1D" w:rsidRDefault="00776E1D" w:rsidP="00074EF8">
            <w:r>
              <w:lastRenderedPageBreak/>
              <w:t>Расчистка</w:t>
            </w:r>
            <w:r w:rsidR="00724F89">
              <w:t xml:space="preserve">,содержание и ремонт </w:t>
            </w:r>
            <w:r>
              <w:t xml:space="preserve"> дорог</w:t>
            </w:r>
          </w:p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Pr="004213BA" w:rsidRDefault="00724F89" w:rsidP="004213BA"/>
          <w:p w:rsidR="00776E1D" w:rsidRDefault="00776E1D" w:rsidP="004213BA"/>
          <w:p w:rsidR="00776E1D" w:rsidRDefault="00776E1D" w:rsidP="004213BA">
            <w:r>
              <w:t>Межевание,кадастровые работы,экспертиза смет</w:t>
            </w:r>
            <w:r w:rsidR="00904612">
              <w:t>, другие работы</w:t>
            </w:r>
          </w:p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Default="00776E1D" w:rsidP="00776E1D"/>
          <w:p w:rsidR="00776E1D" w:rsidRPr="00776E1D" w:rsidRDefault="00776E1D" w:rsidP="00776E1D">
            <w:r>
              <w:t xml:space="preserve">ГСМ </w:t>
            </w:r>
            <w:r w:rsidR="0043683A">
              <w:t xml:space="preserve">,запасные части </w:t>
            </w:r>
            <w:r>
              <w:t>на трактор в зимний период</w:t>
            </w:r>
            <w:r w:rsidR="00AC4F77">
              <w:t xml:space="preserve"> и другие работы</w:t>
            </w:r>
          </w:p>
        </w:tc>
        <w:tc>
          <w:tcPr>
            <w:tcW w:w="2244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</w:t>
            </w:r>
            <w:r w:rsidR="00724F89">
              <w:t>,</w:t>
            </w:r>
          </w:p>
          <w:p w:rsidR="00724F89" w:rsidRDefault="00724F89" w:rsidP="00724F8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</w:t>
            </w:r>
            <w:r>
              <w:rPr>
                <w:color w:val="000000"/>
              </w:rPr>
              <w:lastRenderedPageBreak/>
              <w:t xml:space="preserve">существующих  автодорог для обеспечения высокого уровня удобства и безопасности движения 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776E1D">
              <w:rPr>
                <w:color w:val="000000"/>
              </w:rPr>
              <w:t>готовка документации для оформления, постановки на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 , проведения аукционов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90254D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Pr="00156526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20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CE30DC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76E1D" w:rsidRDefault="00776E1D" w:rsidP="004213BA"/>
          <w:p w:rsidR="00776E1D" w:rsidRDefault="00776E1D" w:rsidP="004213BA">
            <w:r>
              <w:t>Администрация Пречистенского сельского поселения Ярославской области</w:t>
            </w:r>
          </w:p>
          <w:p w:rsidR="00776E1D" w:rsidRPr="00776E1D" w:rsidRDefault="00776E1D" w:rsidP="00776E1D"/>
          <w:p w:rsidR="00776E1D" w:rsidRDefault="00776E1D" w:rsidP="00776E1D"/>
          <w:p w:rsidR="00776E1D" w:rsidRPr="00776E1D" w:rsidRDefault="00776E1D" w:rsidP="00776E1D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2622732</w:t>
            </w:r>
          </w:p>
        </w:tc>
        <w:tc>
          <w:tcPr>
            <w:tcW w:w="1282" w:type="dxa"/>
          </w:tcPr>
          <w:p w:rsidR="00776E1D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1571000</w:t>
            </w:r>
          </w:p>
        </w:tc>
        <w:tc>
          <w:tcPr>
            <w:tcW w:w="1282" w:type="dxa"/>
          </w:tcPr>
          <w:p w:rsidR="00776E1D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2561000</w:t>
            </w:r>
          </w:p>
        </w:tc>
        <w:tc>
          <w:tcPr>
            <w:tcW w:w="1384" w:type="dxa"/>
          </w:tcPr>
          <w:p w:rsidR="00776E1D" w:rsidRDefault="005A3A7F" w:rsidP="008F0FA0">
            <w:pPr>
              <w:widowControl w:val="0"/>
              <w:autoSpaceDE w:val="0"/>
              <w:autoSpaceDN w:val="0"/>
              <w:adjustRightInd w:val="0"/>
            </w:pPr>
            <w:r>
              <w:t>6754732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1500000</w:t>
            </w:r>
          </w:p>
        </w:tc>
        <w:tc>
          <w:tcPr>
            <w:tcW w:w="128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1571000</w:t>
            </w:r>
          </w:p>
        </w:tc>
        <w:tc>
          <w:tcPr>
            <w:tcW w:w="128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2561000</w:t>
            </w:r>
          </w:p>
        </w:tc>
        <w:tc>
          <w:tcPr>
            <w:tcW w:w="1384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5632000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</w:tcPr>
          <w:p w:rsidR="00776E1D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1122732</w:t>
            </w: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8F0FA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1122732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1616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FF4CBE"/>
          <w:p w:rsidR="00776E1D" w:rsidRDefault="00776E1D" w:rsidP="004213BA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76E1D" w:rsidRDefault="00776E1D" w:rsidP="004213BA">
            <w:r>
              <w:t xml:space="preserve">       </w:t>
            </w:r>
          </w:p>
          <w:p w:rsidR="00776E1D" w:rsidRPr="004213BA" w:rsidRDefault="00776E1D" w:rsidP="004213BA">
            <w:r>
              <w:t>Всего по МП</w:t>
            </w:r>
          </w:p>
        </w:tc>
        <w:tc>
          <w:tcPr>
            <w:tcW w:w="1352" w:type="dxa"/>
          </w:tcPr>
          <w:p w:rsidR="005A3A7F" w:rsidRDefault="005A3A7F" w:rsidP="0043683A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Default="005A3A7F" w:rsidP="005A3A7F"/>
          <w:p w:rsidR="005A3A7F" w:rsidRPr="005A3A7F" w:rsidRDefault="005A3A7F" w:rsidP="005A3A7F"/>
          <w:p w:rsidR="005A3A7F" w:rsidRDefault="005A3A7F" w:rsidP="005A3A7F"/>
          <w:p w:rsidR="0043683A" w:rsidRPr="005A3A7F" w:rsidRDefault="005A3A7F" w:rsidP="005A3A7F">
            <w:r>
              <w:t>100000</w:t>
            </w:r>
          </w:p>
        </w:tc>
        <w:tc>
          <w:tcPr>
            <w:tcW w:w="1282" w:type="dxa"/>
          </w:tcPr>
          <w:p w:rsidR="005A3A7F" w:rsidRDefault="005A3A7F" w:rsidP="0043683A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Default="005A3A7F" w:rsidP="005A3A7F"/>
          <w:p w:rsidR="005A3A7F" w:rsidRDefault="005A3A7F" w:rsidP="005A3A7F"/>
          <w:p w:rsidR="0043683A" w:rsidRPr="005A3A7F" w:rsidRDefault="005A3A7F" w:rsidP="005A3A7F">
            <w:r>
              <w:t>100000</w:t>
            </w:r>
          </w:p>
        </w:tc>
        <w:tc>
          <w:tcPr>
            <w:tcW w:w="1282" w:type="dxa"/>
          </w:tcPr>
          <w:p w:rsidR="005A3A7F" w:rsidRDefault="005A3A7F" w:rsidP="0043683A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Default="005A3A7F" w:rsidP="005A3A7F"/>
          <w:p w:rsidR="0043683A" w:rsidRDefault="0043683A" w:rsidP="005A3A7F"/>
          <w:p w:rsidR="005A3A7F" w:rsidRPr="005A3A7F" w:rsidRDefault="005A3A7F" w:rsidP="005A3A7F">
            <w:r>
              <w:t>150000</w:t>
            </w:r>
          </w:p>
        </w:tc>
        <w:tc>
          <w:tcPr>
            <w:tcW w:w="1384" w:type="dxa"/>
          </w:tcPr>
          <w:p w:rsidR="005A3A7F" w:rsidRDefault="005A3A7F" w:rsidP="0043683A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Pr="005A3A7F" w:rsidRDefault="005A3A7F" w:rsidP="005A3A7F"/>
          <w:p w:rsidR="005A3A7F" w:rsidRDefault="005A3A7F" w:rsidP="005A3A7F"/>
          <w:p w:rsidR="0043683A" w:rsidRDefault="0043683A" w:rsidP="005A3A7F"/>
          <w:p w:rsidR="005A3A7F" w:rsidRPr="005A3A7F" w:rsidRDefault="005A3A7F" w:rsidP="005A3A7F">
            <w:r>
              <w:t>350000</w:t>
            </w:r>
          </w:p>
        </w:tc>
      </w:tr>
      <w:tr w:rsidR="00776E1D" w:rsidTr="004213BA">
        <w:trPr>
          <w:trHeight w:val="217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МБ</w:t>
            </w:r>
          </w:p>
        </w:tc>
        <w:tc>
          <w:tcPr>
            <w:tcW w:w="135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100000</w:t>
            </w:r>
          </w:p>
        </w:tc>
        <w:tc>
          <w:tcPr>
            <w:tcW w:w="128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100000</w:t>
            </w:r>
          </w:p>
        </w:tc>
        <w:tc>
          <w:tcPr>
            <w:tcW w:w="128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150000</w:t>
            </w:r>
          </w:p>
        </w:tc>
        <w:tc>
          <w:tcPr>
            <w:tcW w:w="1384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350000</w:t>
            </w:r>
          </w:p>
        </w:tc>
      </w:tr>
      <w:tr w:rsidR="00776E1D" w:rsidTr="004213BA">
        <w:trPr>
          <w:trHeight w:val="272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298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23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366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80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/>
          <w:p w:rsidR="00776E1D" w:rsidRDefault="00776E1D" w:rsidP="00776E1D"/>
          <w:p w:rsidR="00776E1D" w:rsidRPr="00776E1D" w:rsidRDefault="00776E1D" w:rsidP="00776E1D">
            <w:r>
              <w:t>Всего по МП</w:t>
            </w:r>
          </w:p>
        </w:tc>
        <w:tc>
          <w:tcPr>
            <w:tcW w:w="1352" w:type="dxa"/>
          </w:tcPr>
          <w:p w:rsidR="005A3A7F" w:rsidRDefault="005A3A7F" w:rsidP="00592231"/>
          <w:p w:rsidR="00592231" w:rsidRDefault="00592231" w:rsidP="005A3A7F"/>
          <w:p w:rsidR="005A3A7F" w:rsidRPr="005A3A7F" w:rsidRDefault="005A3A7F" w:rsidP="005A3A7F">
            <w:r>
              <w:t>150000</w:t>
            </w:r>
          </w:p>
        </w:tc>
        <w:tc>
          <w:tcPr>
            <w:tcW w:w="1282" w:type="dxa"/>
          </w:tcPr>
          <w:p w:rsidR="005A3A7F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3A7F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2231" w:rsidRPr="005A3A7F" w:rsidRDefault="005A3A7F" w:rsidP="005A3A7F">
            <w:r>
              <w:t>150000</w:t>
            </w:r>
          </w:p>
        </w:tc>
        <w:tc>
          <w:tcPr>
            <w:tcW w:w="1282" w:type="dxa"/>
          </w:tcPr>
          <w:p w:rsidR="005A3A7F" w:rsidRDefault="005A3A7F" w:rsidP="00592231"/>
          <w:p w:rsidR="00592231" w:rsidRDefault="00592231" w:rsidP="005A3A7F"/>
          <w:p w:rsidR="005A3A7F" w:rsidRPr="005A3A7F" w:rsidRDefault="005A3A7F" w:rsidP="005A3A7F">
            <w:r>
              <w:t>150000</w:t>
            </w:r>
          </w:p>
        </w:tc>
        <w:tc>
          <w:tcPr>
            <w:tcW w:w="1384" w:type="dxa"/>
          </w:tcPr>
          <w:p w:rsidR="005A3A7F" w:rsidRDefault="005A3A7F" w:rsidP="00592231"/>
          <w:p w:rsidR="00592231" w:rsidRDefault="00592231" w:rsidP="005A3A7F">
            <w:pPr>
              <w:jc w:val="center"/>
            </w:pPr>
          </w:p>
          <w:p w:rsidR="005A3A7F" w:rsidRPr="005A3A7F" w:rsidRDefault="005A3A7F" w:rsidP="005A3A7F">
            <w:pPr>
              <w:jc w:val="center"/>
            </w:pPr>
            <w:r>
              <w:t>450000</w:t>
            </w:r>
          </w:p>
        </w:tc>
      </w:tr>
      <w:tr w:rsidR="00776E1D" w:rsidTr="00776E1D">
        <w:trPr>
          <w:trHeight w:val="244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МБ</w:t>
            </w:r>
          </w:p>
        </w:tc>
        <w:tc>
          <w:tcPr>
            <w:tcW w:w="135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150000</w:t>
            </w:r>
          </w:p>
        </w:tc>
        <w:tc>
          <w:tcPr>
            <w:tcW w:w="128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150000</w:t>
            </w:r>
          </w:p>
        </w:tc>
        <w:tc>
          <w:tcPr>
            <w:tcW w:w="1282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150000</w:t>
            </w:r>
          </w:p>
        </w:tc>
        <w:tc>
          <w:tcPr>
            <w:tcW w:w="1384" w:type="dxa"/>
          </w:tcPr>
          <w:p w:rsidR="00776E1D" w:rsidRDefault="005A3A7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450000</w:t>
            </w:r>
          </w:p>
        </w:tc>
      </w:tr>
      <w:tr w:rsidR="00776E1D" w:rsidTr="00776E1D">
        <w:trPr>
          <w:trHeight w:val="27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245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27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910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5.Сведения о целевых показателях (индикаторах) муниципальной программы</w:t>
      </w:r>
    </w:p>
    <w:p w:rsidR="00A663F7" w:rsidRDefault="00156526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</w:rPr>
        <w:tab/>
      </w:r>
      <w:r w:rsidR="00A663F7">
        <w:rPr>
          <w:rFonts w:eastAsia="Times New Roman CYR"/>
          <w:b/>
          <w:bCs/>
        </w:rPr>
        <w:t>«Содержание  и ремонт  автомобильных дорог</w:t>
      </w:r>
    </w:p>
    <w:p w:rsidR="00A663F7" w:rsidRDefault="00A663F7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712AB3" w:rsidRPr="00035CFD" w:rsidRDefault="005C3B30" w:rsidP="003729F2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2019-2021</w:t>
      </w:r>
      <w:r w:rsidR="00764A7E">
        <w:rPr>
          <w:rFonts w:eastAsia="Times New Roman CYR"/>
          <w:b/>
          <w:bCs/>
        </w:rPr>
        <w:t>годы</w:t>
      </w:r>
      <w:r w:rsidR="00A663F7">
        <w:rPr>
          <w:rFonts w:eastAsia="Times New Roman CYR"/>
          <w:b/>
          <w:bCs/>
        </w:rPr>
        <w:t>»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AF45BB">
              <w:t xml:space="preserve"> целевого индикатора </w:t>
            </w:r>
            <w:r>
              <w:t xml:space="preserve"> </w:t>
            </w:r>
            <w:r w:rsidR="00AF45BB">
              <w:t>(</w:t>
            </w:r>
            <w:r>
              <w:t>показателя</w:t>
            </w:r>
            <w:r w:rsidR="00AF45BB">
              <w:t>)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</w:t>
            </w:r>
            <w:r w:rsidR="00AF45BB">
              <w:t>целевых  индикаторов (</w:t>
            </w:r>
            <w:r>
              <w:t>показател</w:t>
            </w:r>
            <w:r w:rsidR="00AF45BB">
              <w:t>ей)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BB0F3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5C3B3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5C3B3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5C3B3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дорог местного значения ,подлежащих ежегодному содержанию</w:t>
            </w: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Прирост протяженности автомобильных дорог, по которым проведены работы по межеванию</w:t>
            </w:r>
          </w:p>
        </w:tc>
        <w:tc>
          <w:tcPr>
            <w:tcW w:w="1701" w:type="dxa"/>
          </w:tcPr>
          <w:p w:rsidR="00A663F7" w:rsidRDefault="00A663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км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A663F7" w:rsidP="00A663F7">
            <w:r>
              <w:t>км</w:t>
            </w:r>
          </w:p>
        </w:tc>
        <w:tc>
          <w:tcPr>
            <w:tcW w:w="1984" w:type="dxa"/>
          </w:tcPr>
          <w:p w:rsidR="00A663F7" w:rsidRDefault="005C3B3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40,540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A651E3" w:rsidP="00A663F7">
            <w:r>
              <w:t>37,</w:t>
            </w:r>
            <w:r w:rsidR="00BB0F3F">
              <w:t>2</w:t>
            </w:r>
          </w:p>
        </w:tc>
        <w:tc>
          <w:tcPr>
            <w:tcW w:w="1701" w:type="dxa"/>
          </w:tcPr>
          <w:p w:rsidR="00A663F7" w:rsidRDefault="00BB0F3F" w:rsidP="004A42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40,540</w:t>
            </w:r>
          </w:p>
          <w:p w:rsidR="004A42C5" w:rsidRPr="00A663F7" w:rsidRDefault="004A42C5" w:rsidP="004A42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AB3" w:rsidRDefault="00712AB3" w:rsidP="00A663F7"/>
          <w:p w:rsidR="00BB0F3F" w:rsidRPr="00A663F7" w:rsidRDefault="00BB0F3F" w:rsidP="00BB0F3F">
            <w:r>
              <w:t>39,0</w:t>
            </w:r>
          </w:p>
        </w:tc>
        <w:tc>
          <w:tcPr>
            <w:tcW w:w="1985" w:type="dxa"/>
          </w:tcPr>
          <w:p w:rsidR="00A663F7" w:rsidRDefault="00BB0F3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40,80</w:t>
            </w:r>
          </w:p>
          <w:p w:rsidR="00A663F7" w:rsidRPr="00A663F7" w:rsidRDefault="00A663F7" w:rsidP="00A663F7"/>
          <w:p w:rsidR="00BB0F3F" w:rsidRDefault="00BB0F3F" w:rsidP="00A663F7"/>
          <w:p w:rsidR="00712AB3" w:rsidRPr="00BB0F3F" w:rsidRDefault="00BB0F3F" w:rsidP="00BB0F3F">
            <w:r>
              <w:t>44,0</w:t>
            </w:r>
          </w:p>
        </w:tc>
        <w:tc>
          <w:tcPr>
            <w:tcW w:w="1778" w:type="dxa"/>
          </w:tcPr>
          <w:p w:rsidR="00A663F7" w:rsidRDefault="00BB0F3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40.80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BB0F3F" w:rsidP="00A663F7">
            <w:r>
              <w:t>52,0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EB2543" w:rsidRDefault="00EB2543" w:rsidP="00EB2543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tab/>
      </w: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EB2543" w:rsidRDefault="00EB2543" w:rsidP="00EB2543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EB2543" w:rsidRDefault="00FC75D0" w:rsidP="00EB2543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 xml:space="preserve">Ярославской области на </w:t>
      </w:r>
      <w:r w:rsidR="00BB0F3F">
        <w:rPr>
          <w:rFonts w:eastAsia="Times New Roman CYR"/>
          <w:b/>
          <w:bCs/>
        </w:rPr>
        <w:t>2019-2021</w:t>
      </w:r>
      <w:r w:rsidR="00764A7E">
        <w:rPr>
          <w:rFonts w:eastAsia="Times New Roman CYR"/>
          <w:b/>
          <w:bCs/>
        </w:rPr>
        <w:t>годы</w:t>
      </w:r>
      <w:r w:rsidR="00EB2543">
        <w:rPr>
          <w:rFonts w:eastAsia="Times New Roman CYR"/>
          <w:b/>
          <w:bCs/>
        </w:rPr>
        <w:t>»</w:t>
      </w:r>
    </w:p>
    <w:p w:rsidR="00EB2543" w:rsidRPr="00035CFD" w:rsidRDefault="00EB2543" w:rsidP="00EB2543">
      <w:pPr>
        <w:pStyle w:val="ConsPlusNormal"/>
        <w:widowControl/>
        <w:jc w:val="both"/>
        <w:rPr>
          <w:b/>
        </w:rPr>
      </w:pPr>
    </w:p>
    <w:p w:rsidR="00035CFD" w:rsidRPr="00035CFD" w:rsidRDefault="00035CFD" w:rsidP="00EB2543">
      <w:pPr>
        <w:widowControl w:val="0"/>
        <w:tabs>
          <w:tab w:val="left" w:pos="666"/>
        </w:tabs>
        <w:autoSpaceDE w:val="0"/>
        <w:autoSpaceDN w:val="0"/>
        <w:adjustRightInd w:val="0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BB0F3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BB0F3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BB0F3F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74EF8" w:rsidRDefault="00035CFD" w:rsidP="00074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EB2543" w:rsidRDefault="00EB2543" w:rsidP="00EB254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EB2543" w:rsidRDefault="00EB2543" w:rsidP="00EB254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EB2543" w:rsidRDefault="00BB0F3F" w:rsidP="00EB2543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2019-2021</w:t>
            </w:r>
            <w:r w:rsidR="00764A7E">
              <w:rPr>
                <w:rFonts w:eastAsia="Times New Roman CYR"/>
                <w:b/>
                <w:bCs/>
              </w:rPr>
              <w:t>годы</w:t>
            </w:r>
            <w:r w:rsidR="00EB2543">
              <w:rPr>
                <w:rFonts w:eastAsia="Times New Roman CYR"/>
                <w:b/>
                <w:bCs/>
              </w:rPr>
              <w:t>»</w:t>
            </w:r>
          </w:p>
          <w:p w:rsidR="00EB2543" w:rsidRPr="00035CFD" w:rsidRDefault="00EB2543" w:rsidP="00EB2543">
            <w:pPr>
              <w:pStyle w:val="ConsPlusNormal"/>
              <w:widowControl/>
              <w:jc w:val="both"/>
              <w:rPr>
                <w:b/>
              </w:rPr>
            </w:pPr>
          </w:p>
          <w:p w:rsidR="00035CFD" w:rsidRPr="00035CFD" w:rsidRDefault="00035CFD" w:rsidP="00074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035CFD" w:rsidRPr="00AD1466" w:rsidRDefault="00BB0F3F" w:rsidP="00AD1466">
            <w:r>
              <w:t>7554732</w:t>
            </w:r>
          </w:p>
        </w:tc>
        <w:tc>
          <w:tcPr>
            <w:tcW w:w="1417" w:type="dxa"/>
          </w:tcPr>
          <w:p w:rsidR="00035CFD" w:rsidRPr="00AD1466" w:rsidRDefault="00BB0F3F" w:rsidP="00AD1466">
            <w:pPr>
              <w:jc w:val="center"/>
            </w:pPr>
            <w:r>
              <w:t>2872732</w:t>
            </w:r>
          </w:p>
        </w:tc>
        <w:tc>
          <w:tcPr>
            <w:tcW w:w="1418" w:type="dxa"/>
          </w:tcPr>
          <w:p w:rsidR="00035CFD" w:rsidRPr="00AD1466" w:rsidRDefault="00BB0F3F" w:rsidP="00AD1466">
            <w:r>
              <w:t>1821000</w:t>
            </w:r>
          </w:p>
        </w:tc>
        <w:tc>
          <w:tcPr>
            <w:tcW w:w="1599" w:type="dxa"/>
          </w:tcPr>
          <w:p w:rsidR="00035CFD" w:rsidRPr="00AD1466" w:rsidRDefault="00BB0F3F" w:rsidP="00AD1466">
            <w:r>
              <w:t>2861000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(прочие дотации)</w:t>
            </w:r>
          </w:p>
        </w:tc>
        <w:tc>
          <w:tcPr>
            <w:tcW w:w="1559" w:type="dxa"/>
          </w:tcPr>
          <w:p w:rsidR="00035CFD" w:rsidRPr="00035CFD" w:rsidRDefault="00BB0F3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6432000</w:t>
            </w:r>
          </w:p>
        </w:tc>
        <w:tc>
          <w:tcPr>
            <w:tcW w:w="1417" w:type="dxa"/>
          </w:tcPr>
          <w:p w:rsidR="00035CFD" w:rsidRPr="00035CFD" w:rsidRDefault="00BB0F3F" w:rsidP="00AD1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1750000</w:t>
            </w:r>
          </w:p>
        </w:tc>
        <w:tc>
          <w:tcPr>
            <w:tcW w:w="1418" w:type="dxa"/>
          </w:tcPr>
          <w:p w:rsidR="00035CFD" w:rsidRPr="00035CFD" w:rsidRDefault="00BB0F3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1821000</w:t>
            </w:r>
          </w:p>
        </w:tc>
        <w:tc>
          <w:tcPr>
            <w:tcW w:w="1599" w:type="dxa"/>
          </w:tcPr>
          <w:p w:rsidR="00035CFD" w:rsidRPr="00035CFD" w:rsidRDefault="00BB0F3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2861000</w:t>
            </w:r>
          </w:p>
        </w:tc>
      </w:tr>
      <w:tr w:rsidR="00716069" w:rsidRPr="00035CFD" w:rsidTr="00035CFD">
        <w:tc>
          <w:tcPr>
            <w:tcW w:w="3475" w:type="dxa"/>
          </w:tcPr>
          <w:p w:rsidR="00716069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559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716069" w:rsidRPr="00035CFD" w:rsidRDefault="00716069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BB0F3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1122732</w:t>
            </w:r>
          </w:p>
        </w:tc>
        <w:tc>
          <w:tcPr>
            <w:tcW w:w="1417" w:type="dxa"/>
          </w:tcPr>
          <w:p w:rsidR="00035CFD" w:rsidRPr="00035CFD" w:rsidRDefault="00BB0F3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1122732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  <w:r w:rsidRPr="00035CFD">
        <w:rPr>
          <w:b/>
          <w:bCs/>
        </w:rPr>
        <w:t>7. Система управления и контроля за реализацией муниципальной программы.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lastRenderedPageBreak/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Pr="00174014" w:rsidRDefault="00712AB3" w:rsidP="00431D48">
      <w:pPr>
        <w:widowControl w:val="0"/>
        <w:autoSpaceDE w:val="0"/>
        <w:autoSpaceDN w:val="0"/>
        <w:adjustRightInd w:val="0"/>
        <w:jc w:val="both"/>
      </w:pPr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2E" w:rsidRDefault="00D2102E" w:rsidP="003A7BF4">
      <w:r>
        <w:separator/>
      </w:r>
    </w:p>
  </w:endnote>
  <w:endnote w:type="continuationSeparator" w:id="0">
    <w:p w:rsidR="00D2102E" w:rsidRDefault="00D2102E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2E" w:rsidRDefault="00D2102E" w:rsidP="003A7BF4">
      <w:r>
        <w:separator/>
      </w:r>
    </w:p>
  </w:footnote>
  <w:footnote w:type="continuationSeparator" w:id="0">
    <w:p w:rsidR="00D2102E" w:rsidRDefault="00D2102E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10034"/>
    <w:rsid w:val="00010073"/>
    <w:rsid w:val="00035CFD"/>
    <w:rsid w:val="00051ABE"/>
    <w:rsid w:val="000621EE"/>
    <w:rsid w:val="00074EF8"/>
    <w:rsid w:val="00084D11"/>
    <w:rsid w:val="00094281"/>
    <w:rsid w:val="000B39C7"/>
    <w:rsid w:val="000C6C18"/>
    <w:rsid w:val="000C6FC7"/>
    <w:rsid w:val="000E3901"/>
    <w:rsid w:val="000F3712"/>
    <w:rsid w:val="00102CF1"/>
    <w:rsid w:val="00102E96"/>
    <w:rsid w:val="00102ED0"/>
    <w:rsid w:val="0011343E"/>
    <w:rsid w:val="00120D2B"/>
    <w:rsid w:val="00121DC1"/>
    <w:rsid w:val="001238DD"/>
    <w:rsid w:val="001249C8"/>
    <w:rsid w:val="00127AE1"/>
    <w:rsid w:val="00142D4A"/>
    <w:rsid w:val="00150D31"/>
    <w:rsid w:val="001522F0"/>
    <w:rsid w:val="00153B6F"/>
    <w:rsid w:val="00156526"/>
    <w:rsid w:val="00174014"/>
    <w:rsid w:val="00183366"/>
    <w:rsid w:val="00185896"/>
    <w:rsid w:val="00195BA5"/>
    <w:rsid w:val="001A642C"/>
    <w:rsid w:val="001B00C7"/>
    <w:rsid w:val="001D3DA9"/>
    <w:rsid w:val="00210DD7"/>
    <w:rsid w:val="002129AD"/>
    <w:rsid w:val="002278DD"/>
    <w:rsid w:val="002554FF"/>
    <w:rsid w:val="00287121"/>
    <w:rsid w:val="002C5862"/>
    <w:rsid w:val="002D69EC"/>
    <w:rsid w:val="002D751F"/>
    <w:rsid w:val="002E0934"/>
    <w:rsid w:val="00303406"/>
    <w:rsid w:val="00315D8B"/>
    <w:rsid w:val="003401E8"/>
    <w:rsid w:val="0035123A"/>
    <w:rsid w:val="00353046"/>
    <w:rsid w:val="00356013"/>
    <w:rsid w:val="00362F6A"/>
    <w:rsid w:val="003729F2"/>
    <w:rsid w:val="00372E31"/>
    <w:rsid w:val="003A11A7"/>
    <w:rsid w:val="003A6B53"/>
    <w:rsid w:val="003A7BF4"/>
    <w:rsid w:val="003B1C16"/>
    <w:rsid w:val="003B56BF"/>
    <w:rsid w:val="003C23AC"/>
    <w:rsid w:val="003D452F"/>
    <w:rsid w:val="003D5430"/>
    <w:rsid w:val="003D5523"/>
    <w:rsid w:val="003E0F61"/>
    <w:rsid w:val="003E3835"/>
    <w:rsid w:val="003E3BD8"/>
    <w:rsid w:val="003F07ED"/>
    <w:rsid w:val="003F50BD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683A"/>
    <w:rsid w:val="00450956"/>
    <w:rsid w:val="00465400"/>
    <w:rsid w:val="004674CC"/>
    <w:rsid w:val="00473358"/>
    <w:rsid w:val="00485C0B"/>
    <w:rsid w:val="00494F78"/>
    <w:rsid w:val="004A42C5"/>
    <w:rsid w:val="004D1806"/>
    <w:rsid w:val="004D222D"/>
    <w:rsid w:val="004D79A1"/>
    <w:rsid w:val="004E4C5B"/>
    <w:rsid w:val="004E75B5"/>
    <w:rsid w:val="00500208"/>
    <w:rsid w:val="00522777"/>
    <w:rsid w:val="00526124"/>
    <w:rsid w:val="00540DC5"/>
    <w:rsid w:val="00545E1A"/>
    <w:rsid w:val="00546127"/>
    <w:rsid w:val="005558CF"/>
    <w:rsid w:val="00555A47"/>
    <w:rsid w:val="005619AC"/>
    <w:rsid w:val="00566E92"/>
    <w:rsid w:val="00582108"/>
    <w:rsid w:val="00586599"/>
    <w:rsid w:val="00592231"/>
    <w:rsid w:val="00597DB0"/>
    <w:rsid w:val="005A0D20"/>
    <w:rsid w:val="005A3A7F"/>
    <w:rsid w:val="005B14AD"/>
    <w:rsid w:val="005B1635"/>
    <w:rsid w:val="005C3B30"/>
    <w:rsid w:val="005D43B4"/>
    <w:rsid w:val="005D5CAF"/>
    <w:rsid w:val="005F2634"/>
    <w:rsid w:val="00640106"/>
    <w:rsid w:val="00644FB2"/>
    <w:rsid w:val="00651C37"/>
    <w:rsid w:val="00655D23"/>
    <w:rsid w:val="0067624D"/>
    <w:rsid w:val="00687A1E"/>
    <w:rsid w:val="00691EA3"/>
    <w:rsid w:val="006A4B97"/>
    <w:rsid w:val="006D1765"/>
    <w:rsid w:val="006D61C3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6789"/>
    <w:rsid w:val="007F7F51"/>
    <w:rsid w:val="008075C7"/>
    <w:rsid w:val="00824007"/>
    <w:rsid w:val="008244B3"/>
    <w:rsid w:val="008328E9"/>
    <w:rsid w:val="0083478B"/>
    <w:rsid w:val="00836AB7"/>
    <w:rsid w:val="008B1A1D"/>
    <w:rsid w:val="008B6718"/>
    <w:rsid w:val="008D5F45"/>
    <w:rsid w:val="008E46E3"/>
    <w:rsid w:val="008E4F4D"/>
    <w:rsid w:val="008F0FA0"/>
    <w:rsid w:val="008F1741"/>
    <w:rsid w:val="0090254D"/>
    <w:rsid w:val="00904612"/>
    <w:rsid w:val="009102FA"/>
    <w:rsid w:val="00910AF5"/>
    <w:rsid w:val="009234B1"/>
    <w:rsid w:val="009343DD"/>
    <w:rsid w:val="00944E99"/>
    <w:rsid w:val="00966E44"/>
    <w:rsid w:val="00970DA2"/>
    <w:rsid w:val="0099171A"/>
    <w:rsid w:val="009A0C6D"/>
    <w:rsid w:val="009B1402"/>
    <w:rsid w:val="009B18B5"/>
    <w:rsid w:val="009D5E77"/>
    <w:rsid w:val="009E38FB"/>
    <w:rsid w:val="009F54CF"/>
    <w:rsid w:val="009F56DB"/>
    <w:rsid w:val="00A14E73"/>
    <w:rsid w:val="00A2789A"/>
    <w:rsid w:val="00A42452"/>
    <w:rsid w:val="00A5333E"/>
    <w:rsid w:val="00A541BB"/>
    <w:rsid w:val="00A651E3"/>
    <w:rsid w:val="00A663F7"/>
    <w:rsid w:val="00A86CB6"/>
    <w:rsid w:val="00AC4F77"/>
    <w:rsid w:val="00AC6DB6"/>
    <w:rsid w:val="00AC7E82"/>
    <w:rsid w:val="00AD1466"/>
    <w:rsid w:val="00AD756D"/>
    <w:rsid w:val="00AE5EA8"/>
    <w:rsid w:val="00AF45BB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B0F3F"/>
    <w:rsid w:val="00BB56D6"/>
    <w:rsid w:val="00BC1F7F"/>
    <w:rsid w:val="00BC6227"/>
    <w:rsid w:val="00BD7C92"/>
    <w:rsid w:val="00BE1BBC"/>
    <w:rsid w:val="00BE27F5"/>
    <w:rsid w:val="00C11735"/>
    <w:rsid w:val="00C36465"/>
    <w:rsid w:val="00C7497A"/>
    <w:rsid w:val="00C77327"/>
    <w:rsid w:val="00C930E3"/>
    <w:rsid w:val="00CB1E0C"/>
    <w:rsid w:val="00CC56C9"/>
    <w:rsid w:val="00CD55D5"/>
    <w:rsid w:val="00CE30DC"/>
    <w:rsid w:val="00D2102E"/>
    <w:rsid w:val="00D36E34"/>
    <w:rsid w:val="00D411A1"/>
    <w:rsid w:val="00D61D0C"/>
    <w:rsid w:val="00D67000"/>
    <w:rsid w:val="00D70DDF"/>
    <w:rsid w:val="00D716CF"/>
    <w:rsid w:val="00D7582D"/>
    <w:rsid w:val="00DA1DD2"/>
    <w:rsid w:val="00DA47D5"/>
    <w:rsid w:val="00DB45A6"/>
    <w:rsid w:val="00DC54DF"/>
    <w:rsid w:val="00DD156B"/>
    <w:rsid w:val="00DD3486"/>
    <w:rsid w:val="00DE24CF"/>
    <w:rsid w:val="00DF5008"/>
    <w:rsid w:val="00DF7545"/>
    <w:rsid w:val="00E000FE"/>
    <w:rsid w:val="00E00811"/>
    <w:rsid w:val="00E25D0F"/>
    <w:rsid w:val="00E42B29"/>
    <w:rsid w:val="00E725BF"/>
    <w:rsid w:val="00E72C68"/>
    <w:rsid w:val="00E72E8A"/>
    <w:rsid w:val="00E765DB"/>
    <w:rsid w:val="00E945C8"/>
    <w:rsid w:val="00EB2543"/>
    <w:rsid w:val="00EB2AEA"/>
    <w:rsid w:val="00ED5F7D"/>
    <w:rsid w:val="00ED7B77"/>
    <w:rsid w:val="00EE3E58"/>
    <w:rsid w:val="00EE65AD"/>
    <w:rsid w:val="00F16571"/>
    <w:rsid w:val="00F24E1E"/>
    <w:rsid w:val="00F43A6F"/>
    <w:rsid w:val="00F469CD"/>
    <w:rsid w:val="00F50653"/>
    <w:rsid w:val="00F577AF"/>
    <w:rsid w:val="00F62888"/>
    <w:rsid w:val="00F7095C"/>
    <w:rsid w:val="00F747F3"/>
    <w:rsid w:val="00FA44F4"/>
    <w:rsid w:val="00FB31E1"/>
    <w:rsid w:val="00FB5034"/>
    <w:rsid w:val="00FC005C"/>
    <w:rsid w:val="00FC75D0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985E6"/>
  <w15:docId w15:val="{6C2D70C1-528E-4B12-972B-2B40393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B435-EAA0-4064-8ADE-F18780FA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92</cp:revision>
  <cp:lastPrinted>2018-12-18T06:19:00Z</cp:lastPrinted>
  <dcterms:created xsi:type="dcterms:W3CDTF">2014-04-30T05:04:00Z</dcterms:created>
  <dcterms:modified xsi:type="dcterms:W3CDTF">2018-12-19T08:05:00Z</dcterms:modified>
</cp:coreProperties>
</file>